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Audit &amp; Risk Committee Charter</w:t>
      </w:r>
    </w:p>
    <w:p>
      <w:pPr>
        <w:pStyle w:val="CoverSub"/>
      </w:pPr>
      <w:r>
        <w:t>Committee oversight of financial reporting, internal control, risk management and assurance</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Audit &amp; Risk Committee Charter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2063535"/>
            <wp:docPr id="1" name="Picture 1"/>
            <wp:cNvGraphicFramePr>
              <a:graphicFrameLocks noChangeAspect="1"/>
            </wp:cNvGraphicFramePr>
            <a:graphic>
              <a:graphicData uri="http://schemas.openxmlformats.org/drawingml/2006/picture">
                <pic:pic>
                  <pic:nvPicPr>
                    <pic:cNvPr id="0" name="02_NCDF_Audit_and_Risk_Committee_Charter.png"/>
                    <pic:cNvPicPr/>
                  </pic:nvPicPr>
                  <pic:blipFill>
                    <a:blip r:embed="rId10"/>
                    <a:stretch>
                      <a:fillRect/>
                    </a:stretch>
                  </pic:blipFill>
                  <pic:spPr>
                    <a:xfrm>
                      <a:off x="0" y="0"/>
                      <a:ext cx="5852160" cy="2063535"/>
                    </a:xfrm>
                    <a:prstGeom prst="rect"/>
                  </pic:spPr>
                </pic:pic>
              </a:graphicData>
            </a:graphic>
          </wp:inline>
        </w:drawing>
      </w:r>
    </w:p>
    <w:p>
      <w:pPr>
        <w:pStyle w:val="SmallNCDF"/>
        <w:jc w:val="center"/>
      </w:pPr>
      <w:r>
        <w:rPr>
          <w:i/>
          <w:color w:val="5A5A5A"/>
        </w:rPr>
        <w:t>Assurance and oversight cycle</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Purpose</w:t>
      </w:r>
    </w:p>
    <w:p>
      <w:pPr>
        <w:pStyle w:val="BodyTextNCDF"/>
      </w:pPr>
      <w:r>
        <w:t>The Audit &amp; Risk Committee assists the Board in overseeing the integrity of financial reporting, effectiveness of internal control, enterprise risk management, compliance capability, internal and external assurance arrangements, and the adequacy of management response to control weaknesses. Its remit covers both financial and non-financial risks where those risks could materially affect solvency, reputation, legality, safety, sustainability or the ability to deliver development outcomes.</w:t>
      </w:r>
    </w:p>
    <w:p>
      <w:pPr>
        <w:pStyle w:val="BodyTextNCDF"/>
        <w:ind w:left="288" w:hanging="216"/>
      </w:pPr>
      <w:r>
        <w:rPr>
          <w:b/>
        </w:rPr>
        <w:t xml:space="preserve">• </w:t>
      </w:r>
      <w:r>
        <w:t>Provide a clear decision and control architecture that can withstand Board, auditor, regulator and investor scrutiny.</w:t>
      </w:r>
    </w:p>
    <w:p>
      <w:pPr>
        <w:pStyle w:val="BodyTextNCDF"/>
        <w:ind w:left="288" w:hanging="216"/>
      </w:pPr>
      <w:r>
        <w:rPr>
          <w:b/>
        </w:rPr>
        <w:t xml:space="preserve">• </w:t>
      </w:r>
      <w:r>
        <w:t>Create consistent expectations across HoldCo, regulated entities, funds, SPVs and programmes.</w:t>
      </w:r>
    </w:p>
    <w:p>
      <w:pPr>
        <w:pStyle w:val="BodyTextNCDF"/>
        <w:ind w:left="288" w:hanging="216"/>
      </w:pPr>
      <w:r>
        <w:rPr>
          <w:b/>
        </w:rPr>
        <w:t xml:space="preserve">• </w:t>
      </w:r>
      <w:r>
        <w:t>Reduce ambiguity, control bypass and key-person dependency through documented process and accountability.</w:t>
      </w:r>
    </w:p>
    <w:p>
      <w:pPr>
        <w:pStyle w:val="Heading1NCDF"/>
      </w:pPr>
      <w:r>
        <w:t>Authority</w:t>
      </w:r>
    </w:p>
    <w:p>
      <w:pPr>
        <w:pStyle w:val="BodyTextNCDF"/>
      </w:pPr>
      <w:r>
        <w:t>The Committee may investigate any matter within its terms of reference; obtain any information from any director, employee, subsidiary, managed vehicle or service provider; meet privately with internal audit, external auditors, the chief financial officer, chief risk officer, chief compliance officer and management; and commission independent advice or specialist reviews where justified by risk or materiality.</w:t>
      </w:r>
    </w:p>
    <w:p>
      <w:pPr>
        <w:pStyle w:val="Heading1NCDF"/>
      </w:pPr>
      <w:r>
        <w:t>Core responsibilities – financial reporting</w:t>
      </w:r>
    </w:p>
    <w:p>
      <w:pPr>
        <w:pStyle w:val="BodyTextNCDF"/>
      </w:pPr>
      <w:r>
        <w:t>The Committee shall review accounting policies, significant judgements, valuation issues, going-concern and viability assessments, quality of financial close processes, and whether disclosures are fair, balanced and understandable. It shall review the annual audit plan, management representation process, and resolution of audit adjustments and significant deficiencies.</w:t>
      </w:r>
    </w:p>
    <w:p>
      <w:pPr>
        <w:pStyle w:val="BodyTextNCDF"/>
        <w:ind w:left="288" w:hanging="216"/>
      </w:pPr>
      <w:r>
        <w:rPr>
          <w:b/>
        </w:rPr>
        <w:t xml:space="preserve">• </w:t>
      </w:r>
      <w:r>
        <w:t>Reports should distinguish current status, trend direction, forecast and required decisions.</w:t>
      </w:r>
    </w:p>
    <w:p>
      <w:pPr>
        <w:pStyle w:val="BodyTextNCDF"/>
        <w:ind w:left="288" w:hanging="216"/>
      </w:pPr>
      <w:r>
        <w:rPr>
          <w:b/>
        </w:rPr>
        <w:t xml:space="preserve">• </w:t>
      </w:r>
      <w:r>
        <w:t>Management information should focus on exceptions, concentrations, overdue actions and emerging risks.</w:t>
      </w:r>
    </w:p>
    <w:p>
      <w:pPr>
        <w:pStyle w:val="BodyTextNCDF"/>
        <w:ind w:left="288" w:hanging="216"/>
      </w:pPr>
      <w:r>
        <w:rPr>
          <w:b/>
        </w:rPr>
        <w:t xml:space="preserve">• </w:t>
      </w:r>
      <w:r>
        <w:t>Evidence should be retained in a manner that supports internal audit, external audit and investor diligence.</w:t>
      </w:r>
    </w:p>
    <w:p>
      <w:pPr>
        <w:pStyle w:val="Heading1NCDF"/>
      </w:pPr>
      <w:r>
        <w:t>Core responsibilities – internal control and assurance</w:t>
      </w:r>
    </w:p>
    <w:p>
      <w:pPr>
        <w:pStyle w:val="BodyTextNCDF"/>
      </w:pPr>
      <w:r>
        <w:t>The Committee oversees the design and operating effectiveness of the internal control environment, including controls over treasury, procurement, investment approval, expense management, related-party transactions, financial crime, cyber and data protection, and environmental and social compliance where applicable. It approves the internal audit charter, annual audit plan and access rights, and monitors remediation of findings.</w:t>
      </w:r>
    </w:p>
    <w:p>
      <w:pPr>
        <w:pStyle w:val="Heading1NCDF"/>
      </w:pPr>
      <w:r>
        <w:t>Core responsibilities – risk governance</w:t>
      </w:r>
    </w:p>
    <w:p>
      <w:pPr>
        <w:pStyle w:val="BodyTextNCDF"/>
      </w:pPr>
      <w:r>
        <w:t>The Committee reviews risk appetite metrics, principal risk profile, stress scenarios, concentration risks, early warning indicators and the adequacy of management action plans. It provides focused oversight of liquidity, capital adequacy, regulatory, conduct, project execution, ESG, litigation and reputation risks. It challenges whether risk reporting is forward-looking, decision-oriented and linked to capital deployment.</w:t>
      </w:r>
    </w:p>
    <w:p>
      <w:pPr>
        <w:pStyle w:val="BodyTextNCDF"/>
        <w:ind w:left="288" w:hanging="216"/>
      </w:pPr>
      <w:r>
        <w:rPr>
          <w:b/>
        </w:rPr>
        <w:t xml:space="preserve">• </w:t>
      </w:r>
      <w:r>
        <w:t>Control design should be proportionate to risk, but any simplification must be consciously approved rather than assumed.</w:t>
      </w:r>
    </w:p>
    <w:p>
      <w:pPr>
        <w:pStyle w:val="BodyTextNCDF"/>
        <w:ind w:left="288" w:hanging="216"/>
      </w:pPr>
      <w:r>
        <w:rPr>
          <w:b/>
        </w:rPr>
        <w:t xml:space="preserve">• </w:t>
      </w:r>
      <w:r>
        <w:t>Material exceptions require documented rationale, a time-bound remediation plan and accountable owner.</w:t>
      </w:r>
    </w:p>
    <w:p>
      <w:pPr>
        <w:pStyle w:val="BodyTextNCDF"/>
        <w:ind w:left="288" w:hanging="216"/>
      </w:pPr>
      <w:r>
        <w:rPr>
          <w:b/>
        </w:rPr>
        <w:t xml:space="preserve">• </w:t>
      </w:r>
      <w:r>
        <w:t>Recurring exceptions are indicators of structural weakness and should be escalated.</w:t>
      </w:r>
    </w:p>
    <w:p>
      <w:pPr>
        <w:pStyle w:val="Heading1NCDF"/>
      </w:pPr>
      <w:r>
        <w:t>External audit and independence</w:t>
      </w:r>
    </w:p>
    <w:p>
      <w:pPr>
        <w:pStyle w:val="BodyTextNCDF"/>
      </w:pPr>
      <w:r>
        <w:t>The Committee recommends appointment, reappointment or removal of the external auditor; reviews audit scope, fees, independence safeguards and non-audit services; and evaluates audit quality and professional scepticism. Partner rotation, tendering and cooling-off requirements shall be observed in line with law and institutional good practice.</w:t>
      </w:r>
    </w:p>
    <w:p>
      <w:pPr>
        <w:pStyle w:val="Heading1NCDF"/>
      </w:pPr>
      <w:r>
        <w:t>Membership and competence</w:t>
      </w:r>
    </w:p>
    <w:p>
      <w:pPr>
        <w:pStyle w:val="BodyTextNCDF"/>
      </w:pPr>
      <w:r>
        <w:t>The Committee should comprise at least three non-executive directors, the majority of whom should be independent. Members collectively shall possess literacy in finance, controls and risk, with at least one member bringing recent and relevant financial reporting expertise. The chair of the Board should not chair this Committee unless exceptional circumstances are documented and mitigated.</w:t>
      </w:r>
    </w:p>
    <w:p>
      <w:pPr>
        <w:pStyle w:val="Heading1NCDF"/>
      </w:pPr>
      <w:r>
        <w:t>Reporting and escalation</w:t>
      </w:r>
    </w:p>
    <w:p>
      <w:pPr>
        <w:pStyle w:val="BodyTextNCDF"/>
      </w:pPr>
      <w:r>
        <w:t>The Committee shall report to the Board after each meeting with clear summaries of decisions, issues requiring Board judgement, overdue remediation items, unresolved disagreements with management and emerging risks requiring enhanced monitoring. The Committee may escalate urgent matters directly to the Board Chair between scheduled meetings.</w:t>
      </w:r>
    </w:p>
    <w:p>
      <w:pPr>
        <w:pStyle w:val="BodyTextNCDF"/>
        <w:ind w:left="288" w:hanging="216"/>
      </w:pPr>
      <w:r>
        <w:rPr>
          <w:b/>
        </w:rPr>
        <w:t xml:space="preserve">• </w:t>
      </w:r>
      <w:r>
        <w:t>Reports should distinguish current status, trend direction, forecast and required decisions.</w:t>
      </w:r>
    </w:p>
    <w:p>
      <w:pPr>
        <w:pStyle w:val="BodyTextNCDF"/>
        <w:ind w:left="288" w:hanging="216"/>
      </w:pPr>
      <w:r>
        <w:rPr>
          <w:b/>
        </w:rPr>
        <w:t xml:space="preserve">• </w:t>
      </w:r>
      <w:r>
        <w:t>Management information should focus on exceptions, concentrations, overdue actions and emerging risks.</w:t>
      </w:r>
    </w:p>
    <w:p>
      <w:pPr>
        <w:pStyle w:val="BodyTextNCDF"/>
        <w:ind w:left="288" w:hanging="216"/>
      </w:pPr>
      <w:r>
        <w:rPr>
          <w:b/>
        </w:rPr>
        <w:t xml:space="preserve">• </w:t>
      </w:r>
      <w:r>
        <w:t>Evidence should be retained in a manner that supports internal audit, external audit and investor diligence.</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Role</w:t>
            </w:r>
          </w:p>
        </w:tc>
        <w:tc>
          <w:tcPr>
            <w:tcW w:type="dxa" w:w="4968"/>
            <w:shd w:fill="163C72"/>
            <w:tcMar>
              <w:top w:w="110" w:type="dxa"/>
              <w:start w:w="120" w:type="dxa"/>
              <w:bottom w:w="110" w:type="dxa"/>
              <w:end w:w="120" w:type="dxa"/>
            </w:tcMar>
          </w:tcPr>
          <w:p>
            <w:pPr>
              <w:pStyle w:val="SmallNCDF"/>
            </w:pPr>
            <w:r>
              <w:rPr>
                <w:b/>
                <w:color w:val="FFFFFF"/>
              </w:rPr>
              <w:t>Primary accountability</w:t>
            </w:r>
          </w:p>
        </w:tc>
      </w:tr>
      <w:tr>
        <w:tc>
          <w:tcPr>
            <w:tcW w:type="dxa" w:w="4968"/>
            <w:tcMar>
              <w:top w:w="95" w:type="dxa"/>
              <w:start w:w="120" w:type="dxa"/>
              <w:bottom w:w="95" w:type="dxa"/>
              <w:end w:w="120" w:type="dxa"/>
            </w:tcMar>
            <w:vAlign w:val="center"/>
          </w:tcPr>
          <w:p>
            <w:pPr>
              <w:pStyle w:val="SmallNCDF"/>
            </w:pPr>
            <w:r>
              <w:t>Committee</w:t>
            </w:r>
          </w:p>
        </w:tc>
        <w:tc>
          <w:tcPr>
            <w:tcW w:type="dxa" w:w="4968"/>
            <w:tcMar>
              <w:top w:w="95" w:type="dxa"/>
              <w:start w:w="120" w:type="dxa"/>
              <w:bottom w:w="95" w:type="dxa"/>
              <w:end w:w="120" w:type="dxa"/>
            </w:tcMar>
            <w:vAlign w:val="center"/>
          </w:tcPr>
          <w:p>
            <w:pPr>
              <w:pStyle w:val="SmallNCDF"/>
            </w:pPr>
            <w:r>
              <w:t>Oversee financial reporting, internal control, risk and assurance.</w:t>
            </w:r>
          </w:p>
        </w:tc>
      </w:tr>
      <w:tr>
        <w:tc>
          <w:tcPr>
            <w:tcW w:type="dxa" w:w="4968"/>
            <w:tcMar>
              <w:top w:w="95" w:type="dxa"/>
              <w:start w:w="120" w:type="dxa"/>
              <w:bottom w:w="95" w:type="dxa"/>
              <w:end w:w="120" w:type="dxa"/>
            </w:tcMar>
            <w:vAlign w:val="center"/>
          </w:tcPr>
          <w:p>
            <w:pPr>
              <w:pStyle w:val="SmallNCDF"/>
            </w:pPr>
            <w:r>
              <w:t>CFO</w:t>
            </w:r>
          </w:p>
        </w:tc>
        <w:tc>
          <w:tcPr>
            <w:tcW w:type="dxa" w:w="4968"/>
            <w:tcMar>
              <w:top w:w="95" w:type="dxa"/>
              <w:start w:w="120" w:type="dxa"/>
              <w:bottom w:w="95" w:type="dxa"/>
              <w:end w:w="120" w:type="dxa"/>
            </w:tcMar>
            <w:vAlign w:val="center"/>
          </w:tcPr>
          <w:p>
            <w:pPr>
              <w:pStyle w:val="SmallNCDF"/>
            </w:pPr>
            <w:r>
              <w:t>Financial statements, controls, audit coordination and remediation.</w:t>
            </w:r>
          </w:p>
        </w:tc>
      </w:tr>
      <w:tr>
        <w:tc>
          <w:tcPr>
            <w:tcW w:type="dxa" w:w="4968"/>
            <w:tcMar>
              <w:top w:w="95" w:type="dxa"/>
              <w:start w:w="120" w:type="dxa"/>
              <w:bottom w:w="95" w:type="dxa"/>
              <w:end w:w="120" w:type="dxa"/>
            </w:tcMar>
            <w:vAlign w:val="center"/>
          </w:tcPr>
          <w:p>
            <w:pPr>
              <w:pStyle w:val="SmallNCDF"/>
            </w:pPr>
            <w:r>
              <w:t>Chief Risk / Compliance Officer</w:t>
            </w:r>
          </w:p>
        </w:tc>
        <w:tc>
          <w:tcPr>
            <w:tcW w:type="dxa" w:w="4968"/>
            <w:tcMar>
              <w:top w:w="95" w:type="dxa"/>
              <w:start w:w="120" w:type="dxa"/>
              <w:bottom w:w="95" w:type="dxa"/>
              <w:end w:w="120" w:type="dxa"/>
            </w:tcMar>
            <w:vAlign w:val="center"/>
          </w:tcPr>
          <w:p>
            <w:pPr>
              <w:pStyle w:val="SmallNCDF"/>
            </w:pPr>
            <w:r>
              <w:t>Independent second-line challenge and risk reporting.</w:t>
            </w:r>
          </w:p>
        </w:tc>
      </w:tr>
      <w:tr>
        <w:tc>
          <w:tcPr>
            <w:tcW w:type="dxa" w:w="4968"/>
            <w:tcMar>
              <w:top w:w="95" w:type="dxa"/>
              <w:start w:w="120" w:type="dxa"/>
              <w:bottom w:w="95" w:type="dxa"/>
              <w:end w:w="120" w:type="dxa"/>
            </w:tcMar>
            <w:vAlign w:val="center"/>
          </w:tcPr>
          <w:p>
            <w:pPr>
              <w:pStyle w:val="SmallNCDF"/>
            </w:pPr>
            <w:r>
              <w:t>Internal Audit</w:t>
            </w:r>
          </w:p>
        </w:tc>
        <w:tc>
          <w:tcPr>
            <w:tcW w:type="dxa" w:w="4968"/>
            <w:tcMar>
              <w:top w:w="95" w:type="dxa"/>
              <w:start w:w="120" w:type="dxa"/>
              <w:bottom w:w="95" w:type="dxa"/>
              <w:end w:w="120" w:type="dxa"/>
            </w:tcMar>
            <w:vAlign w:val="center"/>
          </w:tcPr>
          <w:p>
            <w:pPr>
              <w:pStyle w:val="SmallNCDF"/>
            </w:pPr>
            <w:r>
              <w:t>Independent third-line assurance.</w:t>
            </w:r>
          </w:p>
        </w:tc>
      </w:tr>
      <w:tr>
        <w:tc>
          <w:tcPr>
            <w:tcW w:type="dxa" w:w="4968"/>
            <w:tcMar>
              <w:top w:w="95" w:type="dxa"/>
              <w:start w:w="120" w:type="dxa"/>
              <w:bottom w:w="95" w:type="dxa"/>
              <w:end w:w="120" w:type="dxa"/>
            </w:tcMar>
            <w:vAlign w:val="center"/>
          </w:tcPr>
          <w:p>
            <w:pPr>
              <w:pStyle w:val="SmallNCDF"/>
            </w:pPr>
            <w:r>
              <w:t>External Auditor</w:t>
            </w:r>
          </w:p>
        </w:tc>
        <w:tc>
          <w:tcPr>
            <w:tcW w:type="dxa" w:w="4968"/>
            <w:tcMar>
              <w:top w:w="95" w:type="dxa"/>
              <w:start w:w="120" w:type="dxa"/>
              <w:bottom w:w="95" w:type="dxa"/>
              <w:end w:w="120" w:type="dxa"/>
            </w:tcMar>
            <w:vAlign w:val="center"/>
          </w:tcPr>
          <w:p>
            <w:pPr>
              <w:pStyle w:val="SmallNCDF"/>
            </w:pPr>
            <w:r>
              <w:t>Independent audit opinion and control observations.</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