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Conflicts of Interest Policy</w:t>
      </w:r>
    </w:p>
    <w:p>
      <w:pPr>
        <w:pStyle w:val="CoverSub"/>
      </w:pPr>
      <w:r>
        <w:t>Identification, disclosure, escalation and management of actual, potential and perceived conflicts</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Conflicts of Interest Policy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2063535"/>
            <wp:docPr id="1" name="Picture 1"/>
            <wp:cNvGraphicFramePr>
              <a:graphicFrameLocks noChangeAspect="1"/>
            </wp:cNvGraphicFramePr>
            <a:graphic>
              <a:graphicData uri="http://schemas.openxmlformats.org/drawingml/2006/picture">
                <pic:pic>
                  <pic:nvPicPr>
                    <pic:cNvPr id="0" name="03_NCDF_Conflicts_of_Interest_Policy.png"/>
                    <pic:cNvPicPr/>
                  </pic:nvPicPr>
                  <pic:blipFill>
                    <a:blip r:embed="rId10"/>
                    <a:stretch>
                      <a:fillRect/>
                    </a:stretch>
                  </pic:blipFill>
                  <pic:spPr>
                    <a:xfrm>
                      <a:off x="0" y="0"/>
                      <a:ext cx="5852160" cy="2063535"/>
                    </a:xfrm>
                    <a:prstGeom prst="rect"/>
                  </pic:spPr>
                </pic:pic>
              </a:graphicData>
            </a:graphic>
          </wp:inline>
        </w:drawing>
      </w:r>
    </w:p>
    <w:p>
      <w:pPr>
        <w:pStyle w:val="SmallNCDF"/>
        <w:jc w:val="center"/>
      </w:pPr>
      <w:r>
        <w:rPr>
          <w:i/>
          <w:color w:val="5A5A5A"/>
        </w:rPr>
        <w:t>Conflict management lifecycle</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Policy objective</w:t>
      </w:r>
    </w:p>
    <w:p>
      <w:pPr>
        <w:pStyle w:val="BodyTextNCDF"/>
      </w:pPr>
      <w:r>
        <w:t>This policy sets out how NCDF identifies, discloses, assesses, manages and records actual, potential and perceived conflicts of interest. It is designed for an institutional platform in which the same ecosystem may contain shareholders, directors, employees, fund managers, advisors, co-investors, SPVs, public counterparties and beneficiaries whose interests may intersect.</w:t>
      </w:r>
    </w:p>
    <w:p>
      <w:pPr>
        <w:pStyle w:val="BodyTextNCDF"/>
        <w:ind w:left="288" w:hanging="216"/>
      </w:pPr>
      <w:r>
        <w:rPr>
          <w:b/>
        </w:rPr>
        <w:t xml:space="preserve">• </w:t>
      </w:r>
      <w:r>
        <w:t>Provide a clear decision and control architecture that can withstand Board, auditor, regulator and investor scrutiny.</w:t>
      </w:r>
    </w:p>
    <w:p>
      <w:pPr>
        <w:pStyle w:val="BodyTextNCDF"/>
        <w:ind w:left="288" w:hanging="216"/>
      </w:pPr>
      <w:r>
        <w:rPr>
          <w:b/>
        </w:rPr>
        <w:t xml:space="preserve">• </w:t>
      </w:r>
      <w:r>
        <w:t>Create consistent expectations across HoldCo, regulated entities, funds, SPVs and programmes.</w:t>
      </w:r>
    </w:p>
    <w:p>
      <w:pPr>
        <w:pStyle w:val="BodyTextNCDF"/>
        <w:ind w:left="288" w:hanging="216"/>
      </w:pPr>
      <w:r>
        <w:rPr>
          <w:b/>
        </w:rPr>
        <w:t xml:space="preserve">• </w:t>
      </w:r>
      <w:r>
        <w:t>Reduce ambiguity, control bypass and key-person dependency through documented process and accountability.</w:t>
      </w:r>
    </w:p>
    <w:p>
      <w:pPr>
        <w:pStyle w:val="Heading1NCDF"/>
      </w:pPr>
      <w:r>
        <w:t>Scope of conflicts</w:t>
      </w:r>
    </w:p>
    <w:p>
      <w:pPr>
        <w:pStyle w:val="BodyTextNCDF"/>
      </w:pPr>
      <w:r>
        <w:t>Conflicts may arise from personal financial interests, family relationships, close personal relationships, outside employment, fiduciary duties to other entities, political exposure, gifts and hospitality, procurement participation, related-party transactions, co-investment, proprietary information, fundraising arrangements, advisory mandates and use of corporate opportunities. Perceived conflicts matter even if no improper conduct occurs, because they can undermine trust and legitimacy.</w:t>
      </w:r>
    </w:p>
    <w:p>
      <w:pPr>
        <w:pStyle w:val="Heading1NCDF"/>
      </w:pPr>
      <w:r>
        <w:t>Disclosure obligations</w:t>
      </w:r>
    </w:p>
    <w:p>
      <w:pPr>
        <w:pStyle w:val="BodyTextNCDF"/>
      </w:pPr>
      <w:r>
        <w:t>Directors, committee members, officers and designated employees shall make prompt and complete written disclosures of relevant interests at appointment, annually thereafter and whenever circumstances change. Meeting agendas shall include a standing conflict declaration item. Declarations shall be specific enough to permit informed judgement regarding recusal, restricted access, independent review or prohibition.</w:t>
      </w:r>
    </w:p>
    <w:p>
      <w:pPr>
        <w:pStyle w:val="Heading1NCDF"/>
      </w:pPr>
      <w:r>
        <w:t>Assessment and response</w:t>
      </w:r>
    </w:p>
    <w:p>
      <w:pPr>
        <w:pStyle w:val="BodyTextNCDF"/>
      </w:pPr>
      <w:r>
        <w:t>Conflicts shall be assessed considering materiality, influence over decision-making, proximity to sensitive information, whether the matter concerns public money or regulated activities, and whether an informed third party would perceive compromised objectivity. Management responses may include disclosure only, enhanced monitoring, abstention from discussion, formal recusal from decision, transfer of responsibility, independent valuation, ring-fencing of information, divestment or prohibition.</w:t>
      </w:r>
    </w:p>
    <w:p>
      <w:pPr>
        <w:pStyle w:val="Heading1NCDF"/>
      </w:pPr>
      <w:r>
        <w:t>Registers and documentation</w:t>
      </w:r>
    </w:p>
    <w:p>
      <w:pPr>
        <w:pStyle w:val="BodyTextNCDF"/>
      </w:pPr>
      <w:r>
        <w:t>The Company Secretary or Compliance function shall maintain a central conflicts register, related-party register and meeting-specific recusals log. Decisions regarding conflict treatment shall be documented clearly and retained with the relevant board, committee, investment or procurement records.</w:t>
      </w:r>
    </w:p>
    <w:p>
      <w:pPr>
        <w:pStyle w:val="Heading1NCDF"/>
      </w:pPr>
      <w:r>
        <w:t>Special rules for investment and procurement</w:t>
      </w:r>
    </w:p>
    <w:p>
      <w:pPr>
        <w:pStyle w:val="BodyTextNCDF"/>
      </w:pPr>
      <w:r>
        <w:t>Any person with a conflict in relation to an investment proposal, tender, advisory assignment, valuation, or capital raise shall not influence scoping, selection, negotiation, diligence, recommendation or approval unless expressly authorised with documented safeguards. Related-party transactions require heightened review, arm’s-length validation and approval at the appropriate governance level.</w:t>
      </w:r>
    </w:p>
    <w:p>
      <w:pPr>
        <w:pStyle w:val="Heading1NCDF"/>
      </w:pPr>
      <w:r>
        <w:t>Culture and enforcement</w:t>
      </w:r>
    </w:p>
    <w:p>
      <w:pPr>
        <w:pStyle w:val="BodyTextNCDF"/>
      </w:pPr>
      <w:r>
        <w:t>Failure to disclose or properly manage conflicts is a conduct breach and may trigger disciplinary action, removal from role, invalidation of decision processes, contract termination or escalation to regulators or law-enforcement agencies where required.</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Control point</w:t>
            </w:r>
          </w:p>
        </w:tc>
        <w:tc>
          <w:tcPr>
            <w:tcW w:type="dxa" w:w="4968"/>
            <w:shd w:fill="163C72"/>
            <w:tcMar>
              <w:top w:w="110" w:type="dxa"/>
              <w:start w:w="120" w:type="dxa"/>
              <w:bottom w:w="110" w:type="dxa"/>
              <w:end w:w="120" w:type="dxa"/>
            </w:tcMar>
          </w:tcPr>
          <w:p>
            <w:pPr>
              <w:pStyle w:val="SmallNCDF"/>
            </w:pPr>
            <w:r>
              <w:rPr>
                <w:b/>
                <w:color w:val="FFFFFF"/>
              </w:rPr>
              <w:t>Expectation</w:t>
            </w:r>
          </w:p>
        </w:tc>
      </w:tr>
      <w:tr>
        <w:tc>
          <w:tcPr>
            <w:tcW w:type="dxa" w:w="4968"/>
            <w:tcMar>
              <w:top w:w="95" w:type="dxa"/>
              <w:start w:w="120" w:type="dxa"/>
              <w:bottom w:w="95" w:type="dxa"/>
              <w:end w:w="120" w:type="dxa"/>
            </w:tcMar>
            <w:vAlign w:val="center"/>
          </w:tcPr>
          <w:p>
            <w:pPr>
              <w:pStyle w:val="SmallNCDF"/>
            </w:pPr>
            <w:r>
              <w:t>Annual declarations</w:t>
            </w:r>
          </w:p>
        </w:tc>
        <w:tc>
          <w:tcPr>
            <w:tcW w:type="dxa" w:w="4968"/>
            <w:tcMar>
              <w:top w:w="95" w:type="dxa"/>
              <w:start w:w="120" w:type="dxa"/>
              <w:bottom w:w="95" w:type="dxa"/>
              <w:end w:w="120" w:type="dxa"/>
            </w:tcMar>
            <w:vAlign w:val="center"/>
          </w:tcPr>
          <w:p>
            <w:pPr>
              <w:pStyle w:val="SmallNCDF"/>
            </w:pPr>
            <w:r>
              <w:t>All directors, executives and designated staff file disclosures.</w:t>
            </w:r>
          </w:p>
        </w:tc>
      </w:tr>
      <w:tr>
        <w:tc>
          <w:tcPr>
            <w:tcW w:type="dxa" w:w="4968"/>
            <w:tcMar>
              <w:top w:w="95" w:type="dxa"/>
              <w:start w:w="120" w:type="dxa"/>
              <w:bottom w:w="95" w:type="dxa"/>
              <w:end w:w="120" w:type="dxa"/>
            </w:tcMar>
            <w:vAlign w:val="center"/>
          </w:tcPr>
          <w:p>
            <w:pPr>
              <w:pStyle w:val="SmallNCDF"/>
            </w:pPr>
            <w:r>
              <w:t>Meeting declarations</w:t>
            </w:r>
          </w:p>
        </w:tc>
        <w:tc>
          <w:tcPr>
            <w:tcW w:type="dxa" w:w="4968"/>
            <w:tcMar>
              <w:top w:w="95" w:type="dxa"/>
              <w:start w:w="120" w:type="dxa"/>
              <w:bottom w:w="95" w:type="dxa"/>
              <w:end w:w="120" w:type="dxa"/>
            </w:tcMar>
            <w:vAlign w:val="center"/>
          </w:tcPr>
          <w:p>
            <w:pPr>
              <w:pStyle w:val="SmallNCDF"/>
            </w:pPr>
            <w:r>
              <w:t>Standing agenda item at each Board and committee meeting.</w:t>
            </w:r>
          </w:p>
        </w:tc>
      </w:tr>
      <w:tr>
        <w:tc>
          <w:tcPr>
            <w:tcW w:type="dxa" w:w="4968"/>
            <w:tcMar>
              <w:top w:w="95" w:type="dxa"/>
              <w:start w:w="120" w:type="dxa"/>
              <w:bottom w:w="95" w:type="dxa"/>
              <w:end w:w="120" w:type="dxa"/>
            </w:tcMar>
            <w:vAlign w:val="center"/>
          </w:tcPr>
          <w:p>
            <w:pPr>
              <w:pStyle w:val="SmallNCDF"/>
            </w:pPr>
            <w:r>
              <w:t>Registers</w:t>
            </w:r>
          </w:p>
        </w:tc>
        <w:tc>
          <w:tcPr>
            <w:tcW w:type="dxa" w:w="4968"/>
            <w:tcMar>
              <w:top w:w="95" w:type="dxa"/>
              <w:start w:w="120" w:type="dxa"/>
              <w:bottom w:w="95" w:type="dxa"/>
              <w:end w:w="120" w:type="dxa"/>
            </w:tcMar>
            <w:vAlign w:val="center"/>
          </w:tcPr>
          <w:p>
            <w:pPr>
              <w:pStyle w:val="SmallNCDF"/>
            </w:pPr>
            <w:r>
              <w:t>Central conflicts register and related-party register maintained.</w:t>
            </w:r>
          </w:p>
        </w:tc>
      </w:tr>
      <w:tr>
        <w:tc>
          <w:tcPr>
            <w:tcW w:type="dxa" w:w="4968"/>
            <w:tcMar>
              <w:top w:w="95" w:type="dxa"/>
              <w:start w:w="120" w:type="dxa"/>
              <w:bottom w:w="95" w:type="dxa"/>
              <w:end w:w="120" w:type="dxa"/>
            </w:tcMar>
            <w:vAlign w:val="center"/>
          </w:tcPr>
          <w:p>
            <w:pPr>
              <w:pStyle w:val="SmallNCDF"/>
            </w:pPr>
            <w:r>
              <w:t>Restricted access</w:t>
            </w:r>
          </w:p>
        </w:tc>
        <w:tc>
          <w:tcPr>
            <w:tcW w:type="dxa" w:w="4968"/>
            <w:tcMar>
              <w:top w:w="95" w:type="dxa"/>
              <w:start w:w="120" w:type="dxa"/>
              <w:bottom w:w="95" w:type="dxa"/>
              <w:end w:w="120" w:type="dxa"/>
            </w:tcMar>
            <w:vAlign w:val="center"/>
          </w:tcPr>
          <w:p>
            <w:pPr>
              <w:pStyle w:val="SmallNCDF"/>
            </w:pPr>
            <w:r>
              <w:t>Applied where conflict does not require full recusal but limits information rights.</w:t>
            </w:r>
          </w:p>
        </w:tc>
      </w:tr>
      <w:tr>
        <w:tc>
          <w:tcPr>
            <w:tcW w:type="dxa" w:w="4968"/>
            <w:tcMar>
              <w:top w:w="95" w:type="dxa"/>
              <w:start w:w="120" w:type="dxa"/>
              <w:bottom w:w="95" w:type="dxa"/>
              <w:end w:w="120" w:type="dxa"/>
            </w:tcMar>
            <w:vAlign w:val="center"/>
          </w:tcPr>
          <w:p>
            <w:pPr>
              <w:pStyle w:val="SmallNCDF"/>
            </w:pPr>
            <w:r>
              <w:t>Escalation</w:t>
            </w:r>
          </w:p>
        </w:tc>
        <w:tc>
          <w:tcPr>
            <w:tcW w:type="dxa" w:w="4968"/>
            <w:tcMar>
              <w:top w:w="95" w:type="dxa"/>
              <w:start w:w="120" w:type="dxa"/>
              <w:bottom w:w="95" w:type="dxa"/>
              <w:end w:w="120" w:type="dxa"/>
            </w:tcMar>
            <w:vAlign w:val="center"/>
          </w:tcPr>
          <w:p>
            <w:pPr>
              <w:pStyle w:val="SmallNCDF"/>
            </w:pPr>
            <w:r>
              <w:t>Material conflicts escalated to Chair, Secretariat, Compliance or Board.</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